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Ex his quidam aeternitati</w:t>
      </w:r>
      <w:r/>
    </w:p>
    <w:p>
      <w:pPr>
        <w:pBdr/>
        <w:spacing/>
        <w:ind/>
        <w:rPr/>
      </w:pPr>
      <w:r>
        <w:t xml:space="preserve">se commendari posse per statuas aestimantes eas ardenter adfectant quasi plus praemii de figmentis aereis sensu carentibus adepturi, quam ex conscientia honeste recteque factorum, easque auro curant inbracteari, quod Acilio Glabrio</w:t>
      </w:r>
      <w:r>
        <w:t xml:space="preserve">ni delatum est primo, cum consiliis armisque regem superasset Antiochum. quam autem sit pulchrum exigua haec spernentem et minima ad ascensus verae gloriae tendere longos et arduos, ut memorat vates Ascraeus, Censorius Cato monstravit. qui interrogatus quam</w:t>
      </w:r>
      <w:r>
        <w:t xml:space="preserve"> ob rem inter multos... statuam non haberet malo inquit ambigere bonos quam ob rem id non meruerim, quam quod est gravius cur inpetraverim mussitare.</w:t>
      </w:r>
      <w:r/>
      <w:r/>
    </w:p>
    <w:p>
      <w:pPr>
        <w:pBdr/>
        <w:spacing/>
        <w:ind/>
        <w:rPr/>
      </w:pPr>
      <w:r>
        <w:t xml:space="preserve">Nam quibusdam, quos audio sapientes habitos in Graecia, placuisse opinor mirabilia quaedam (sed nihil est quod illi non persequantur argutiis): partim fugiendas esse nimias amicitias, ne necesse sit unum sollicitum esse pro pluribus; satis superque esse sib</w:t>
      </w:r>
      <w:r>
        <w:t xml:space="preserve">i suarum cuique rerum, alienis nimis implicari molestum esse; commodissimum esse quam laxissimas habenas habere amicitiae, quas vel adducas, cum velis, vel remittas; caput enim esse ad beate vivendum securitatem, qua frui non possit animus, si tamquam partu</w:t>
      </w:r>
      <w:r>
        <w:t xml:space="preserve">riat unus pro pluribus.</w:t>
      </w:r>
      <w:r/>
    </w:p>
    <w:p>
      <w:pPr>
        <w:pBdr/>
        <w:spacing/>
        <w:ind/>
        <w:rPr/>
      </w:pPr>
      <w:r>
        <w:t xml:space="preserve">Novo denique perniciosoque exemplo idem Gallus ausus est inire flagitium grave, quod Romae cum ultimo dedecore temptasse aliquando dicitur Gallienus, et adhibitis paucis clam ferro succinctis vesperi per tabernas palabatur et conpita quaeritando Graeco serm</w:t>
      </w:r>
      <w:r>
        <w:t xml:space="preserve">one, cuius erat inpendio gnarus, quid de Caesare quisque sentiret. et haec confidenter agebat in urbe ubi pernoctantium luminum claritudo dierum solet imitari fulgorem. postremo agnitus saepe iamque, si prodisset, conspicuum se fore contemplans, non nisi lu</w:t>
      </w:r>
      <w:r>
        <w:t xml:space="preserve">ce palam egrediens ad agenda quae putabat seria cernebatur. et haec quidem medullitus multis gementibus agebantur.</w:t>
      </w:r>
      <w:r/>
    </w:p>
    <w:p>
      <w:pPr>
        <w:pBdr/>
        <w:spacing/>
        <w:ind/>
        <w:rPr/>
      </w:pPr>
      <w:r>
        <w:t xml:space="preserve">Thalassius vero ea tempestate praefectus praetorio praesens ipse quoque adrogantis ingenii, considerans incitationem eius ad multorum augeri discrimina, non maturitate vel consiliis mitigabat, ut aliquotiens celsae potestates iras principum molliverunt, sed</w:t>
      </w:r>
      <w:r>
        <w:t xml:space="preserve"> adversando iurgandoque cum parum congrueret, eum ad rabiem potius evibrabat, Augustum actus eius exaggerando creberrime docens, idque, incertum qua mente, ne lateret adfectans. quibus mox Caesar acrius efferatus, velut contumaciae quoddam vexillum altius e</w:t>
      </w:r>
      <w:r>
        <w:t xml:space="preserve">rigens, sine respectu salutis alienae vel suae ad vertenda opposita instar rapidi fluminis irrevocabili impetu ferebatur.</w:t>
      </w:r>
      <w:r/>
    </w:p>
    <w:p>
      <w:pPr>
        <w:pBdr/>
        <w:spacing/>
        <w:ind/>
        <w:rPr/>
      </w:pPr>
      <w:r>
        <w:t xml:space="preserve">Quid? qui se etiam nunc subsidiis patrimonii aut amicorum liberalitate sustentant, hos perire patiemur? An, si qui frui publico non potuit per hostem, hic tegitur ipsa lege censoria; quem is frui non sinit, qui est, etiamsi non appellatur, hostis, huic ferr</w:t>
      </w:r>
      <w:r>
        <w:t xml:space="preserve">i auxilium non oportet? Retinete igitur in provincia diutius eum, qui de sociis cum hostibus, de civibus cum sociis faciat pactiones, qui hoc etiam se pluris esse quam collegam putet, quod ille vos tristia voltuque deceperit, ipse numquam se minus quam erat</w:t>
      </w:r>
      <w:r>
        <w:t xml:space="preserve">, nequam esse simularit. Piso autem alio quodam modo gloriatur se brevi tempore perfecisse, ne Gabinius unus omnium nequissimus existimaretur.</w:t>
      </w:r>
      <w:r/>
    </w:p>
    <w:p>
      <w:pPr>
        <w:pBdr/>
        <w:spacing/>
        <w:ind/>
        <w:rPr/>
      </w:pPr>
      <w:r>
        <w:t xml:space="preserve">Quid? qui se etiam nunc subsidiis patrimonii aut amicorum liberalitate sustentant, hos perire patiemur? An, si qui frui publico non potuit per hostem, hic tegitur ipsa lege censoria; quem is frui non sinit, qui est, etiamsi non appellatur, hostis, huic ferr</w:t>
      </w:r>
      <w:r>
        <w:t xml:space="preserve">i auxilium non oportet? Retinete igitur in provincia diutius eum, qui de sociis cum hostibus, de civibus cum sociis faciat pactiones, qui hoc etiam se pluris esse quam collegam putet, quod ille vos tristia voltuque deceperit, ipse numquam se minus quam erat</w:t>
      </w:r>
      <w:r>
        <w:t xml:space="preserve">, nequam esse simularit. Piso autem alio quodam modo gloriatur se brevi tempore perfecisse, ne Gabinius unus omnium nequissimus existimaretur.</w:t>
      </w:r>
      <w:r/>
    </w:p>
    <w:p>
      <w:pPr>
        <w:pBdr/>
        <w:spacing/>
        <w:ind/>
        <w:rPr/>
      </w:pPr>
      <w:r>
        <w:t xml:space="preserve">Huic Arabia est conserta, ex alio latere Nabataeis contigua; opima varietate conmerciorum castrisque oppleta validis et castellis, quae ad repellendos gentium vicinarum excursus sollicitudo pervigil veterum per oportunos saltus erexit et cautos. haec quoque</w:t>
      </w:r>
      <w:r>
        <w:t xml:space="preserve"> civitates habet inter oppida quaedam ingentes Bostram et Gerasam atque Philadelphiam murorum firmitate cautissimas. hanc provinciae inposito nomine rectoreque adtributo obtemperare legibus nostris Traianus conpulit imperator incolarum tumore saepe contunso</w:t>
      </w:r>
      <w:r>
        <w:t xml:space="preserve"> cum glorioso marte Mediam urgeret et Parthos.</w:t>
      </w:r>
      <w:r/>
    </w:p>
    <w:p>
      <w:pPr>
        <w:pBdr/>
        <w:spacing/>
        <w:ind/>
        <w:rPr/>
      </w:pPr>
      <w:r>
        <w:t xml:space="preserve">Quam quidem partem accusationis admiratus sum et moleste tuli potissimum esse Atratino datam. Neque enim decebat neque aetas illa postulabat neque, id quod animadvertere poteratis, pudor patiebatur optimi adulescentis in tali illum oratione versari. Vellem </w:t>
      </w:r>
      <w:r>
        <w:t xml:space="preserve">aliquis ex vobis robustioribus hunc male dicendi locum suscepisset; aliquanto liberius et fortius et magis more nostro refutaremus istam male dicendi licentiam. Tecum, Atratine, agam lenius, quod et pudor tuus moderatur orationi meae et meum erga te parente</w:t>
      </w:r>
      <w:r>
        <w:t xml:space="preserve">mque tuum beneficium tueri debeo.</w:t>
      </w:r>
      <w:r/>
    </w:p>
    <w:p>
      <w:pPr>
        <w:pBdr/>
        <w:spacing/>
        <w:ind/>
        <w:rPr/>
      </w:pPr>
      <w:r>
        <w:t xml:space="preserve">Atque, ut Tullius ait, ut etiam ferae fame monitae plerumque ad eum locum ubi aliquando pastae sunt revertuntur, ita homines instar turbinis degressi montibus impeditis et arduis loca petivere mari confinia, per quae viis latebrosis sese convallibusque occu</w:t>
      </w:r>
      <w:r>
        <w:t xml:space="preserve">ltantes cum appeterent noctes luna etiam tum cornuta ideoque nondum solido splendore fulgente nauticos observabant quos cum in somnum sentirent effusos per ancoralia, quadrupedo gradu repentes seseque suspensis passibus iniectantes in scaphas eisdem sensim </w:t>
      </w:r>
      <w:r>
        <w:t xml:space="preserve">nihil opinantibus adsistebant et incendente aviditate saevitiam ne cedentium quidem ulli parcendo obtruncatis omnibus merces opimas velut viles nullis repugnantibus avertebant. haecque non diu sunt perpetrata.</w:t>
      </w:r>
      <w:r/>
    </w:p>
    <w:p>
      <w:pPr>
        <w:pBdr/>
        <w:spacing/>
        <w:ind/>
        <w:rPr/>
      </w:pPr>
      <w:r>
        <w:t xml:space="preserve">Quam ob rem vita quidem talis fuit vel fortuna vel gloria, ut nihil posset accedere, moriendi autem sensum celeritas abstulit; quo de genere mortis difficile dictu est; quid homines suspicentur, videtis; hoc vere tamen licet dicere, P. Scipioni ex multis di</w:t>
      </w:r>
      <w:r>
        <w:t xml:space="preserve">ebus, quos in vita celeberrimos laetissimosque viderit, illum diem clarissimum fuisse, cum senatu dimisso domum reductus ad vesperum est a patribus conscriptis, populo Romano, sociis et Latinis, pridie quam excessit e vita, ut ex tam alto dignitatis gradu a</w:t>
      </w:r>
      <w:r>
        <w:t xml:space="preserve">d superos videatur deos potius quam ad inferos pervenisse.</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2025-03-06T10:24:54Z</dcterms:modified>
</cp:coreProperties>
</file>